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DD" w:rsidRPr="009F3BAC" w:rsidRDefault="001713DD" w:rsidP="001713DD">
      <w:pPr>
        <w:pStyle w:val="NoSpacing"/>
        <w:rPr>
          <w:rFonts w:ascii="Cambria" w:hAnsi="Cambria" w:cstheme="minorHAnsi"/>
          <w:b/>
          <w:noProof/>
          <w:color w:val="C00000"/>
          <w:sz w:val="24"/>
          <w:szCs w:val="30"/>
        </w:rPr>
      </w:pPr>
      <w:bookmarkStart w:id="0" w:name="_GoBack"/>
      <w:bookmarkEnd w:id="0"/>
      <w:r w:rsidRPr="009F3BAC">
        <w:rPr>
          <w:rFonts w:ascii="Cambria" w:hAnsi="Cambria" w:cstheme="minorHAnsi"/>
          <w:b/>
          <w:noProof/>
          <w:color w:val="C00000"/>
          <w:sz w:val="24"/>
          <w:szCs w:val="30"/>
          <w:lang w:val="en-CA" w:eastAsia="en-CA"/>
        </w:rPr>
        <w:drawing>
          <wp:anchor distT="0" distB="0" distL="114300" distR="114300" simplePos="0" relativeHeight="251659264" behindDoc="0" locked="0" layoutInCell="1" allowOverlap="1" wp14:anchorId="36FD697B" wp14:editId="32C469B4">
            <wp:simplePos x="0" y="0"/>
            <wp:positionH relativeFrom="column">
              <wp:posOffset>38100</wp:posOffset>
            </wp:positionH>
            <wp:positionV relativeFrom="paragraph">
              <wp:posOffset>38100</wp:posOffset>
            </wp:positionV>
            <wp:extent cx="1450800" cy="2160000"/>
            <wp:effectExtent l="38100" t="38100" r="92710" b="8826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78184113907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08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F3BAC">
        <w:rPr>
          <w:rFonts w:ascii="Cambria" w:hAnsi="Cambria" w:cstheme="minorHAnsi"/>
          <w:b/>
          <w:noProof/>
          <w:color w:val="C00000"/>
          <w:sz w:val="24"/>
          <w:szCs w:val="30"/>
        </w:rPr>
        <w:t>SECOND EDITION</w:t>
      </w:r>
    </w:p>
    <w:p w:rsidR="001713DD" w:rsidRPr="002573ED" w:rsidRDefault="001713DD" w:rsidP="001713DD">
      <w:pPr>
        <w:pStyle w:val="NoSpacing"/>
        <w:rPr>
          <w:rFonts w:ascii="Cambria" w:hAnsi="Cambria" w:cstheme="minorHAnsi"/>
          <w:b/>
          <w:sz w:val="30"/>
          <w:szCs w:val="30"/>
        </w:rPr>
      </w:pPr>
      <w:r>
        <w:rPr>
          <w:rFonts w:ascii="Cambria" w:hAnsi="Cambria" w:cstheme="minorHAnsi"/>
          <w:b/>
          <w:noProof/>
          <w:sz w:val="30"/>
          <w:szCs w:val="30"/>
        </w:rPr>
        <w:t>T</w:t>
      </w:r>
      <w:r w:rsidRPr="00373326">
        <w:rPr>
          <w:rFonts w:ascii="Cambria" w:hAnsi="Cambria" w:cstheme="minorHAnsi"/>
          <w:b/>
          <w:noProof/>
          <w:sz w:val="30"/>
          <w:szCs w:val="30"/>
        </w:rPr>
        <w:t>ort Law and Human Rights</w:t>
      </w:r>
    </w:p>
    <w:p w:rsidR="001713DD" w:rsidRPr="002573ED" w:rsidRDefault="001713DD" w:rsidP="001713DD">
      <w:pPr>
        <w:pStyle w:val="NoSpacing"/>
        <w:rPr>
          <w:rFonts w:ascii="Cambria" w:hAnsi="Cambria" w:cstheme="minorHAnsi"/>
          <w:i/>
          <w:sz w:val="30"/>
          <w:szCs w:val="30"/>
        </w:rPr>
      </w:pPr>
      <w:r w:rsidRPr="00373326">
        <w:rPr>
          <w:rFonts w:ascii="Cambria" w:hAnsi="Cambria" w:cstheme="minorHAnsi"/>
          <w:i/>
          <w:noProof/>
          <w:sz w:val="30"/>
          <w:szCs w:val="30"/>
        </w:rPr>
        <w:t>Jane Wright</w:t>
      </w:r>
    </w:p>
    <w:p w:rsidR="001713DD" w:rsidRPr="00DF5722" w:rsidRDefault="001713DD" w:rsidP="001713DD">
      <w:pPr>
        <w:pStyle w:val="NoSpacing"/>
        <w:rPr>
          <w:rFonts w:ascii="Cambria" w:hAnsi="Cambria" w:cstheme="minorHAnsi"/>
          <w:sz w:val="24"/>
          <w:szCs w:val="30"/>
        </w:rPr>
      </w:pPr>
    </w:p>
    <w:p w:rsidR="001713DD" w:rsidRPr="00373326" w:rsidRDefault="001713DD" w:rsidP="001713DD">
      <w:pPr>
        <w:pStyle w:val="NoSpacing"/>
        <w:rPr>
          <w:rFonts w:ascii="Cambria" w:hAnsi="Cambria" w:cstheme="minorHAnsi"/>
          <w:noProof/>
          <w:sz w:val="24"/>
          <w:szCs w:val="30"/>
        </w:rPr>
      </w:pPr>
      <w:r w:rsidRPr="00373326">
        <w:rPr>
          <w:rFonts w:ascii="Cambria" w:hAnsi="Cambria" w:cstheme="minorHAnsi"/>
          <w:noProof/>
          <w:sz w:val="24"/>
          <w:szCs w:val="30"/>
        </w:rPr>
        <w:t xml:space="preserve">This is a completely revised and expanded second edition, building on the first edition with two principal aims: first, to elucidate the role that domestic tort principles (including the new 'remedy' under the Human Rights Act 1998) play in securing to citizens the human rights standards laid down in the European Convention on Human Rights and, secondly, to evaluate tort principles for compliance with those standards. </w:t>
      </w:r>
    </w:p>
    <w:p w:rsidR="001713DD" w:rsidRPr="00DF5722" w:rsidRDefault="001713DD" w:rsidP="001713DD">
      <w:pPr>
        <w:pStyle w:val="NoSpacing"/>
        <w:rPr>
          <w:rFonts w:ascii="Cambria" w:hAnsi="Cambria" w:cstheme="minorHAnsi"/>
          <w:sz w:val="24"/>
          <w:szCs w:val="30"/>
        </w:rPr>
      </w:pPr>
      <w:r w:rsidRPr="00373326">
        <w:rPr>
          <w:rFonts w:ascii="Cambria" w:hAnsi="Cambria" w:cstheme="minorHAnsi"/>
          <w:noProof/>
          <w:sz w:val="24"/>
          <w:szCs w:val="30"/>
        </w:rPr>
        <w:t>The first edition was written when the Human Rights Act 1998 was newly enacted and many questions existed as to its potential impact on tort law; answers to many of the questions which were raised at that time are only now emerging. Therefore the text has been completely updated to reflect these developments. Whether it is appropriate to attribute particular goals and functions to tort law is highly contested and the analysis begins by locating the discussion within these contemporary debates. The author goes on to examine the extent to which the action against public authorities under section 7 of the Act has impacted on the development of common law principles as well as the issue of horizontal effect of the Act between non-state actors. New chapters include: ‘A Human Rights Based Approach to Tort Law’ and ‘Public Authority Liability and Privacy – From Misuse of Private Information to Autonomy.’</w:t>
      </w:r>
    </w:p>
    <w:p w:rsidR="001713DD" w:rsidRPr="00DF5722" w:rsidRDefault="001713DD" w:rsidP="001713DD">
      <w:pPr>
        <w:pStyle w:val="NoSpacing"/>
        <w:rPr>
          <w:rFonts w:ascii="Cambria" w:hAnsi="Cambria" w:cstheme="minorHAnsi"/>
          <w:sz w:val="24"/>
          <w:szCs w:val="30"/>
        </w:rPr>
      </w:pPr>
    </w:p>
    <w:p w:rsidR="001713DD" w:rsidRPr="00DF5722" w:rsidRDefault="001713DD" w:rsidP="001713DD">
      <w:pPr>
        <w:pStyle w:val="NoSpacing"/>
        <w:rPr>
          <w:rFonts w:ascii="Cambria" w:hAnsi="Cambria" w:cstheme="minorHAnsi"/>
          <w:i/>
          <w:sz w:val="24"/>
          <w:szCs w:val="30"/>
        </w:rPr>
      </w:pPr>
      <w:r w:rsidRPr="009F3BAC">
        <w:rPr>
          <w:rFonts w:ascii="Cambria" w:hAnsi="Cambria" w:cstheme="minorHAnsi"/>
          <w:b/>
          <w:i/>
          <w:noProof/>
          <w:sz w:val="24"/>
          <w:szCs w:val="30"/>
        </w:rPr>
        <w:t>Jane Wright</w:t>
      </w:r>
      <w:r w:rsidRPr="00373326">
        <w:rPr>
          <w:rFonts w:ascii="Cambria" w:hAnsi="Cambria" w:cstheme="minorHAnsi"/>
          <w:i/>
          <w:noProof/>
          <w:sz w:val="24"/>
          <w:szCs w:val="30"/>
        </w:rPr>
        <w:t xml:space="preserve"> is a Professor of Law at the University of Essex.</w:t>
      </w:r>
    </w:p>
    <w:p w:rsidR="001713DD" w:rsidRPr="00DF5722" w:rsidRDefault="001713DD" w:rsidP="001713DD">
      <w:pPr>
        <w:pStyle w:val="NoSpacing"/>
        <w:rPr>
          <w:rFonts w:ascii="Cambria" w:hAnsi="Cambria" w:cstheme="minorHAnsi"/>
          <w:sz w:val="24"/>
          <w:szCs w:val="30"/>
        </w:rPr>
      </w:pPr>
    </w:p>
    <w:p w:rsidR="001713DD" w:rsidRPr="00DF5722" w:rsidRDefault="001713DD" w:rsidP="001713DD">
      <w:pPr>
        <w:pStyle w:val="NoSpacing"/>
        <w:rPr>
          <w:rFonts w:ascii="Cambria" w:hAnsi="Cambria" w:cstheme="minorHAnsi"/>
          <w:sz w:val="24"/>
          <w:szCs w:val="30"/>
        </w:rPr>
      </w:pPr>
      <w:r>
        <w:rPr>
          <w:rFonts w:ascii="Cambria" w:hAnsi="Cambria" w:cstheme="minorHAnsi"/>
          <w:noProof/>
          <w:sz w:val="24"/>
          <w:szCs w:val="30"/>
        </w:rPr>
        <w:t xml:space="preserve">February </w:t>
      </w:r>
      <w:r w:rsidRPr="00373326">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373326">
        <w:rPr>
          <w:rFonts w:ascii="Cambria" w:hAnsi="Cambria" w:cstheme="minorHAnsi"/>
          <w:noProof/>
          <w:sz w:val="24"/>
          <w:szCs w:val="30"/>
        </w:rPr>
        <w:t>9781841139074</w:t>
      </w:r>
      <w:r w:rsidRPr="00DF5722">
        <w:rPr>
          <w:rFonts w:ascii="Cambria" w:hAnsi="Cambria" w:cstheme="minorHAnsi"/>
          <w:sz w:val="24"/>
          <w:szCs w:val="30"/>
        </w:rPr>
        <w:t xml:space="preserve">  </w:t>
      </w:r>
      <w:r>
        <w:rPr>
          <w:rFonts w:ascii="Cambria" w:hAnsi="Cambria" w:cstheme="minorHAnsi"/>
          <w:sz w:val="24"/>
          <w:szCs w:val="30"/>
        </w:rPr>
        <w:t xml:space="preserve"> |</w:t>
      </w:r>
      <w:r w:rsidRPr="00DF5722">
        <w:rPr>
          <w:rFonts w:ascii="Cambria" w:hAnsi="Cambria" w:cstheme="minorHAnsi"/>
          <w:sz w:val="24"/>
          <w:szCs w:val="30"/>
        </w:rPr>
        <w:t xml:space="preserve">   </w:t>
      </w:r>
      <w:r w:rsidRPr="00373326">
        <w:rPr>
          <w:rFonts w:ascii="Cambria" w:hAnsi="Cambria" w:cstheme="minorHAnsi"/>
          <w:noProof/>
          <w:sz w:val="24"/>
          <w:szCs w:val="30"/>
        </w:rPr>
        <w:t>352</w:t>
      </w:r>
      <w:r w:rsidRPr="00DF5722">
        <w:rPr>
          <w:rFonts w:ascii="Cambria" w:hAnsi="Cambria" w:cstheme="minorHAnsi"/>
          <w:sz w:val="24"/>
          <w:szCs w:val="30"/>
        </w:rPr>
        <w:t xml:space="preserve">pp  </w:t>
      </w:r>
      <w:r>
        <w:rPr>
          <w:rFonts w:ascii="Cambria" w:hAnsi="Cambria" w:cstheme="minorHAnsi"/>
          <w:sz w:val="24"/>
          <w:szCs w:val="30"/>
        </w:rPr>
        <w:t>|</w:t>
      </w:r>
      <w:r w:rsidRPr="00DF5722">
        <w:rPr>
          <w:rFonts w:ascii="Cambria" w:hAnsi="Cambria" w:cstheme="minorHAnsi"/>
          <w:sz w:val="24"/>
          <w:szCs w:val="30"/>
        </w:rPr>
        <w:t xml:space="preserve">   </w:t>
      </w:r>
      <w:r w:rsidRPr="00373326">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w:t>
      </w:r>
      <w:r w:rsidRPr="00DF5722">
        <w:rPr>
          <w:rFonts w:ascii="Cambria" w:hAnsi="Cambria" w:cstheme="minorHAnsi"/>
          <w:sz w:val="24"/>
          <w:szCs w:val="30"/>
        </w:rPr>
        <w:t xml:space="preserve">   RSP: </w:t>
      </w:r>
      <w:r w:rsidRPr="00861900">
        <w:rPr>
          <w:rFonts w:ascii="Cambria" w:hAnsi="Cambria" w:cstheme="minorHAnsi"/>
          <w:strike/>
          <w:sz w:val="24"/>
          <w:szCs w:val="30"/>
        </w:rPr>
        <w:t>£</w:t>
      </w:r>
      <w:r w:rsidRPr="00373326">
        <w:rPr>
          <w:rFonts w:ascii="Cambria" w:hAnsi="Cambria" w:cstheme="minorHAnsi"/>
          <w:strike/>
          <w:noProof/>
          <w:sz w:val="24"/>
          <w:szCs w:val="30"/>
        </w:rPr>
        <w:t>75</w:t>
      </w:r>
      <w:r w:rsidRPr="00DF5722">
        <w:rPr>
          <w:rFonts w:ascii="Cambria" w:hAnsi="Cambria" w:cstheme="minorHAnsi"/>
          <w:sz w:val="24"/>
          <w:szCs w:val="30"/>
        </w:rPr>
        <w:t xml:space="preserve">   </w:t>
      </w:r>
    </w:p>
    <w:p w:rsidR="001713DD" w:rsidRPr="009F3BAC" w:rsidRDefault="001713DD" w:rsidP="001713DD">
      <w:pPr>
        <w:pStyle w:val="NoSpacing"/>
        <w:rPr>
          <w:rFonts w:ascii="Cambria" w:hAnsi="Cambria" w:cstheme="minorHAnsi"/>
          <w:b/>
          <w:color w:val="C00000"/>
          <w:sz w:val="24"/>
          <w:szCs w:val="30"/>
        </w:rPr>
      </w:pPr>
      <w:r w:rsidRPr="009F3BAC">
        <w:rPr>
          <w:rFonts w:ascii="Cambria" w:hAnsi="Cambria" w:cstheme="minorHAnsi"/>
          <w:b/>
          <w:color w:val="C00000"/>
          <w:sz w:val="24"/>
          <w:szCs w:val="30"/>
        </w:rPr>
        <w:t>Discount Price: £</w:t>
      </w:r>
      <w:r w:rsidRPr="009F3BAC">
        <w:rPr>
          <w:rFonts w:ascii="Cambria" w:hAnsi="Cambria" w:cstheme="minorHAnsi"/>
          <w:b/>
          <w:noProof/>
          <w:color w:val="C00000"/>
          <w:sz w:val="24"/>
          <w:szCs w:val="30"/>
        </w:rPr>
        <w:t>60</w:t>
      </w:r>
    </w:p>
    <w:p w:rsidR="001713DD" w:rsidRPr="00836D6C" w:rsidRDefault="001713DD" w:rsidP="001713DD">
      <w:pPr>
        <w:pStyle w:val="NoSpacing"/>
        <w:rPr>
          <w:rFonts w:ascii="Cambria" w:hAnsi="Cambria" w:cstheme="minorHAnsi"/>
          <w:b/>
          <w:noProof/>
          <w:color w:val="C00000"/>
          <w:sz w:val="24"/>
          <w:szCs w:val="30"/>
        </w:rPr>
      </w:pPr>
      <w:r w:rsidRPr="00836D6C">
        <w:rPr>
          <w:rFonts w:ascii="Cambria" w:hAnsi="Cambria" w:cstheme="minorHAnsi"/>
          <w:b/>
          <w:noProof/>
          <w:color w:val="C00000"/>
          <w:sz w:val="24"/>
          <w:szCs w:val="30"/>
        </w:rPr>
        <w:t xml:space="preserve">Click </w:t>
      </w:r>
      <w:hyperlink r:id="rId5" w:history="1">
        <w:r w:rsidRPr="00836D6C">
          <w:rPr>
            <w:rStyle w:val="Hyperlink"/>
            <w:rFonts w:ascii="Cambria" w:hAnsi="Cambria" w:cstheme="minorHAnsi"/>
            <w:b/>
            <w:noProof/>
            <w:sz w:val="24"/>
            <w:szCs w:val="30"/>
          </w:rPr>
          <w:t>here</w:t>
        </w:r>
      </w:hyperlink>
      <w:r w:rsidRPr="00836D6C">
        <w:rPr>
          <w:rFonts w:ascii="Cambria" w:hAnsi="Cambria" w:cstheme="minorHAnsi"/>
          <w:b/>
          <w:noProof/>
          <w:color w:val="C00000"/>
          <w:sz w:val="24"/>
          <w:szCs w:val="30"/>
        </w:rPr>
        <w:t xml:space="preserve"> to order online and use the discount code CV7 at the checkout to get your 20% off</w:t>
      </w:r>
    </w:p>
    <w:p w:rsidR="00040FEF" w:rsidRDefault="00040FEF"/>
    <w:sectPr w:rsidR="00040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D"/>
    <w:rsid w:val="00040FEF"/>
    <w:rsid w:val="001713DD"/>
    <w:rsid w:val="0033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529B-A710-4F38-BB84-66D4081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3DD"/>
    <w:pPr>
      <w:spacing w:after="0" w:line="240" w:lineRule="auto"/>
    </w:pPr>
  </w:style>
  <w:style w:type="character" w:styleId="Hyperlink">
    <w:name w:val="Hyperlink"/>
    <w:basedOn w:val="DefaultParagraphFont"/>
    <w:uiPriority w:val="99"/>
    <w:unhideWhenUsed/>
    <w:rsid w:val="001713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oomsburyprofessional.com/uk/tort-law-and-human-rights-978184113907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Jason W Neyers</cp:lastModifiedBy>
  <cp:revision>2</cp:revision>
  <dcterms:created xsi:type="dcterms:W3CDTF">2017-03-30T16:08:00Z</dcterms:created>
  <dcterms:modified xsi:type="dcterms:W3CDTF">2017-03-30T16:08:00Z</dcterms:modified>
</cp:coreProperties>
</file>